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84" w:rsidRDefault="000A4A3E">
      <w:pPr>
        <w:ind w:left="567" w:right="281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8.- As</w:t>
      </w:r>
      <w:r>
        <w:rPr>
          <w:rFonts w:ascii="Arial" w:hAnsi="Arial" w:cs="Arial"/>
          <w:b/>
        </w:rPr>
        <w:t>ignaciones presupuestarias</w:t>
      </w:r>
    </w:p>
    <w:p w:rsidR="00122C84" w:rsidRDefault="000A4A3E">
      <w:pPr>
        <w:spacing w:line="360" w:lineRule="auto"/>
        <w:ind w:left="567" w:right="28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los ejes temáticos y transversales en correlación con el contenido del Plan Estatal de Desarrollo 2016 – 2022 se asigna al presente Decreto de Presupuesto, lo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8"/>
        <w:gridCol w:w="1925"/>
        <w:gridCol w:w="2441"/>
      </w:tblGrid>
      <w:tr w:rsidR="00122C84">
        <w:trPr>
          <w:trHeight w:val="434"/>
          <w:jc w:val="center"/>
        </w:trPr>
        <w:tc>
          <w:tcPr>
            <w:tcW w:w="3678" w:type="dxa"/>
            <w:vAlign w:val="center"/>
          </w:tcPr>
          <w:p w:rsidR="00122C84" w:rsidRDefault="000A4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EJES TEMÁTICOS</w:t>
            </w:r>
          </w:p>
        </w:tc>
        <w:tc>
          <w:tcPr>
            <w:tcW w:w="1925" w:type="dxa"/>
            <w:vAlign w:val="bottom"/>
          </w:tcPr>
          <w:p w:rsidR="00122C84" w:rsidRDefault="000A4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GASTO OPERATIVO</w:t>
            </w:r>
          </w:p>
        </w:tc>
        <w:tc>
          <w:tcPr>
            <w:tcW w:w="2441" w:type="dxa"/>
            <w:vAlign w:val="center"/>
          </w:tcPr>
          <w:p w:rsidR="00122C84" w:rsidRDefault="000A4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INVERSIÓN</w:t>
            </w:r>
          </w:p>
        </w:tc>
      </w:tr>
      <w:tr w:rsidR="00122C84">
        <w:trPr>
          <w:jc w:val="center"/>
        </w:trPr>
        <w:tc>
          <w:tcPr>
            <w:tcW w:w="3678" w:type="dxa"/>
            <w:vAlign w:val="center"/>
          </w:tcPr>
          <w:p w:rsidR="00122C84" w:rsidRDefault="000A4A3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ESTUDIOS Y PROYECTOS DE INFRAESTRUCTURA</w:t>
            </w:r>
          </w:p>
        </w:tc>
        <w:tc>
          <w:tcPr>
            <w:tcW w:w="1925" w:type="dxa"/>
            <w:vAlign w:val="center"/>
          </w:tcPr>
          <w:p w:rsidR="00122C84" w:rsidRDefault="00122C8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  <w:tc>
          <w:tcPr>
            <w:tcW w:w="2441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130,000,000.00</w:t>
            </w:r>
          </w:p>
        </w:tc>
      </w:tr>
      <w:tr w:rsidR="00122C84">
        <w:trPr>
          <w:jc w:val="center"/>
        </w:trPr>
        <w:tc>
          <w:tcPr>
            <w:tcW w:w="3678" w:type="dxa"/>
            <w:vAlign w:val="center"/>
          </w:tcPr>
          <w:p w:rsidR="00122C84" w:rsidRDefault="000A4A3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FORTALECIMIENTO AL CAMPO E INFRAESTRUCTURA SOCIAL </w:t>
            </w:r>
          </w:p>
        </w:tc>
        <w:tc>
          <w:tcPr>
            <w:tcW w:w="1925" w:type="dxa"/>
            <w:vAlign w:val="center"/>
          </w:tcPr>
          <w:p w:rsidR="00122C84" w:rsidRDefault="00122C8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  <w:tc>
          <w:tcPr>
            <w:tcW w:w="2441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105,000,000.00</w:t>
            </w:r>
          </w:p>
        </w:tc>
      </w:tr>
      <w:tr w:rsidR="00122C84">
        <w:trPr>
          <w:jc w:val="center"/>
        </w:trPr>
        <w:tc>
          <w:tcPr>
            <w:tcW w:w="3678" w:type="dxa"/>
            <w:vAlign w:val="center"/>
          </w:tcPr>
          <w:p w:rsidR="00122C84" w:rsidRDefault="000A4A3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FORTALECIMIENTO A LA INFRAESTRUCTURA EDUCATIVA </w:t>
            </w:r>
          </w:p>
        </w:tc>
        <w:tc>
          <w:tcPr>
            <w:tcW w:w="1925" w:type="dxa"/>
            <w:vAlign w:val="center"/>
          </w:tcPr>
          <w:p w:rsidR="00122C84" w:rsidRDefault="00122C8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  <w:tc>
          <w:tcPr>
            <w:tcW w:w="2441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200,000,000.00</w:t>
            </w:r>
          </w:p>
        </w:tc>
      </w:tr>
      <w:tr w:rsidR="00122C84">
        <w:trPr>
          <w:jc w:val="center"/>
        </w:trPr>
        <w:tc>
          <w:tcPr>
            <w:tcW w:w="3678" w:type="dxa"/>
            <w:vAlign w:val="center"/>
          </w:tcPr>
          <w:p w:rsidR="00122C84" w:rsidRDefault="000A4A3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PREVENCIÓN DE INCENDIOS Y COMBATE A PLAGAS FORESTALES  </w:t>
            </w:r>
          </w:p>
        </w:tc>
        <w:tc>
          <w:tcPr>
            <w:tcW w:w="1925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2,000,000.00</w:t>
            </w:r>
          </w:p>
        </w:tc>
        <w:tc>
          <w:tcPr>
            <w:tcW w:w="2441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9,000,000.00</w:t>
            </w:r>
          </w:p>
        </w:tc>
      </w:tr>
    </w:tbl>
    <w:p w:rsidR="00122C84" w:rsidRDefault="00122C84">
      <w:pPr>
        <w:spacing w:line="360" w:lineRule="auto"/>
        <w:jc w:val="both"/>
        <w:rPr>
          <w:sz w:val="16"/>
        </w:rPr>
      </w:pPr>
    </w:p>
    <w:p w:rsidR="00122C84" w:rsidRDefault="000A4A3E">
      <w:pPr>
        <w:spacing w:line="360" w:lineRule="auto"/>
        <w:ind w:left="567" w:right="139"/>
        <w:jc w:val="both"/>
        <w:rPr>
          <w:rFonts w:ascii="Arial" w:hAnsi="Arial"/>
        </w:rPr>
      </w:pPr>
      <w:r>
        <w:rPr>
          <w:rFonts w:ascii="Arial" w:hAnsi="Arial"/>
        </w:rPr>
        <w:t>Para el caso del apoyo a defraudados de Cajas de Ahorro, se destina el monto de $20</w:t>
      </w:r>
      <w:proofErr w:type="gramStart"/>
      <w:r>
        <w:rPr>
          <w:rFonts w:ascii="Arial" w:hAnsi="Arial"/>
        </w:rPr>
        <w:t>,000,000.00</w:t>
      </w:r>
      <w:proofErr w:type="gramEnd"/>
      <w:r>
        <w:rPr>
          <w:rFonts w:ascii="Arial" w:hAnsi="Arial"/>
        </w:rPr>
        <w:t xml:space="preserve"> (Veinte millones de pesos 00/100 M.N.); que se ejercerán en </w:t>
      </w:r>
      <w:proofErr w:type="spellStart"/>
      <w:r>
        <w:rPr>
          <w:rFonts w:ascii="Arial" w:hAnsi="Arial"/>
        </w:rPr>
        <w:t>Paripassu</w:t>
      </w:r>
      <w:proofErr w:type="spellEnd"/>
      <w:r>
        <w:rPr>
          <w:rFonts w:ascii="Arial" w:hAnsi="Arial"/>
        </w:rPr>
        <w:t xml:space="preserve"> y/o inversión.</w:t>
      </w:r>
    </w:p>
    <w:p w:rsidR="00122C84" w:rsidRDefault="000A4A3E">
      <w:pPr>
        <w:spacing w:line="360" w:lineRule="auto"/>
        <w:ind w:left="567" w:right="139"/>
        <w:jc w:val="both"/>
        <w:rPr>
          <w:rFonts w:ascii="Arial" w:hAnsi="Arial"/>
        </w:rPr>
      </w:pPr>
      <w:r>
        <w:rPr>
          <w:rFonts w:ascii="Arial" w:hAnsi="Arial"/>
        </w:rPr>
        <w:t>Respecto a los Ejes Transversales se destina: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1891"/>
        <w:gridCol w:w="1832"/>
        <w:gridCol w:w="1714"/>
      </w:tblGrid>
      <w:tr w:rsidR="00122C84">
        <w:trPr>
          <w:trHeight w:val="434"/>
          <w:jc w:val="center"/>
        </w:trPr>
        <w:tc>
          <w:tcPr>
            <w:tcW w:w="2697" w:type="dxa"/>
            <w:vAlign w:val="center"/>
          </w:tcPr>
          <w:p w:rsidR="00122C84" w:rsidRDefault="000A4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EJES TRANSVERSALES</w:t>
            </w:r>
          </w:p>
        </w:tc>
        <w:tc>
          <w:tcPr>
            <w:tcW w:w="1891" w:type="dxa"/>
            <w:vAlign w:val="center"/>
          </w:tcPr>
          <w:p w:rsidR="00122C84" w:rsidRDefault="000A4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GASTO OPERATIVO</w:t>
            </w:r>
          </w:p>
        </w:tc>
        <w:tc>
          <w:tcPr>
            <w:tcW w:w="1832" w:type="dxa"/>
            <w:vAlign w:val="center"/>
          </w:tcPr>
          <w:p w:rsidR="00122C84" w:rsidRDefault="000A4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INVERSIÓN</w:t>
            </w:r>
          </w:p>
        </w:tc>
        <w:tc>
          <w:tcPr>
            <w:tcW w:w="1714" w:type="dxa"/>
            <w:vAlign w:val="center"/>
          </w:tcPr>
          <w:p w:rsidR="00122C84" w:rsidRDefault="000A4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PARIPASSU Y/O INVERSIÓN</w:t>
            </w:r>
          </w:p>
        </w:tc>
      </w:tr>
      <w:tr w:rsidR="00122C84">
        <w:trPr>
          <w:jc w:val="center"/>
        </w:trPr>
        <w:tc>
          <w:tcPr>
            <w:tcW w:w="2697" w:type="dxa"/>
            <w:vAlign w:val="center"/>
          </w:tcPr>
          <w:p w:rsidR="00122C84" w:rsidRDefault="000A4A3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PUEBLOS INDÍGENAS</w:t>
            </w:r>
          </w:p>
        </w:tc>
        <w:tc>
          <w:tcPr>
            <w:tcW w:w="1891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7,000,000.00</w:t>
            </w:r>
          </w:p>
        </w:tc>
        <w:tc>
          <w:tcPr>
            <w:tcW w:w="1832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20,000,000.00</w:t>
            </w:r>
          </w:p>
        </w:tc>
        <w:tc>
          <w:tcPr>
            <w:tcW w:w="1714" w:type="dxa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13,000,000.00</w:t>
            </w:r>
          </w:p>
        </w:tc>
      </w:tr>
      <w:tr w:rsidR="00122C84">
        <w:trPr>
          <w:jc w:val="center"/>
        </w:trPr>
        <w:tc>
          <w:tcPr>
            <w:tcW w:w="2697" w:type="dxa"/>
            <w:vAlign w:val="center"/>
          </w:tcPr>
          <w:p w:rsidR="00122C84" w:rsidRDefault="000A4A3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EQUIDAD DE GENERO</w:t>
            </w:r>
          </w:p>
        </w:tc>
        <w:tc>
          <w:tcPr>
            <w:tcW w:w="1891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15,000,000.00</w:t>
            </w:r>
          </w:p>
        </w:tc>
        <w:tc>
          <w:tcPr>
            <w:tcW w:w="1832" w:type="dxa"/>
            <w:vAlign w:val="center"/>
          </w:tcPr>
          <w:p w:rsidR="00122C84" w:rsidRDefault="000A4A3E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10,000,000.00</w:t>
            </w:r>
          </w:p>
        </w:tc>
        <w:tc>
          <w:tcPr>
            <w:tcW w:w="1714" w:type="dxa"/>
          </w:tcPr>
          <w:p w:rsidR="00122C84" w:rsidRDefault="00122C8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</w:tr>
    </w:tbl>
    <w:p w:rsidR="00122C84" w:rsidRDefault="00122C84">
      <w:pPr>
        <w:spacing w:line="360" w:lineRule="auto"/>
        <w:jc w:val="both"/>
        <w:rPr>
          <w:rFonts w:ascii="Arial" w:hAnsi="Arial"/>
        </w:rPr>
      </w:pPr>
    </w:p>
    <w:p w:rsidR="00122C84" w:rsidRDefault="000A4A3E">
      <w:pPr>
        <w:spacing w:line="360" w:lineRule="auto"/>
        <w:ind w:left="567" w:right="139"/>
        <w:jc w:val="both"/>
        <w:rPr>
          <w:rFonts w:ascii="Arial" w:hAnsi="Arial"/>
        </w:rPr>
      </w:pPr>
      <w:r>
        <w:rPr>
          <w:rFonts w:ascii="Arial" w:hAnsi="Arial"/>
        </w:rPr>
        <w:t>Para fortalecer la Coordinación Institucional se asignan $180</w:t>
      </w:r>
      <w:proofErr w:type="gramStart"/>
      <w:r>
        <w:rPr>
          <w:rFonts w:ascii="Arial" w:hAnsi="Arial"/>
        </w:rPr>
        <w:t>,000,000.00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(Ciento ochenta millones de pesos 00/100 M.N.), adicionales a los establecido en el presente Decreto.</w:t>
      </w:r>
    </w:p>
    <w:p w:rsidR="00122C84" w:rsidRDefault="000A4A3E">
      <w:pPr>
        <w:spacing w:line="360" w:lineRule="auto"/>
        <w:ind w:left="567" w:right="13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Por otra parte, se asignan a los Municipios un monto de $189</w:t>
      </w:r>
      <w:proofErr w:type="gramStart"/>
      <w:r>
        <w:rPr>
          <w:rFonts w:ascii="Arial" w:hAnsi="Arial"/>
        </w:rPr>
        <w:t>,000,000.00</w:t>
      </w:r>
      <w:proofErr w:type="gramEnd"/>
      <w:r>
        <w:rPr>
          <w:rFonts w:ascii="Arial" w:hAnsi="Arial"/>
        </w:rPr>
        <w:t xml:space="preserve"> (Ciento ochenta y nueve millones de pesos 00/100 M.N.), del Fondo Municipal de Par</w:t>
      </w:r>
      <w:r>
        <w:rPr>
          <w:rFonts w:ascii="Arial" w:hAnsi="Arial"/>
        </w:rPr>
        <w:t>ticipaciones mismo que deberán distribuirse de conformidad con la Ley de Coordinación Fiscal para el Estado de Oaxaca.</w:t>
      </w:r>
    </w:p>
    <w:sectPr w:rsidR="00122C84">
      <w:headerReference w:type="default" r:id="rId9"/>
      <w:footerReference w:type="default" r:id="rId10"/>
      <w:pgSz w:w="12240" w:h="15840" w:code="1"/>
      <w:pgMar w:top="3402" w:right="1134" w:bottom="1134" w:left="1701" w:header="709" w:footer="709" w:gutter="0"/>
      <w:pgNumType w:start="9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3E" w:rsidRDefault="000A4A3E">
      <w:pPr>
        <w:spacing w:after="0" w:line="240" w:lineRule="auto"/>
      </w:pPr>
      <w:r>
        <w:separator/>
      </w:r>
    </w:p>
  </w:endnote>
  <w:endnote w:type="continuationSeparator" w:id="0">
    <w:p w:rsidR="000A4A3E" w:rsidRDefault="000A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698083"/>
      <w:docPartObj>
        <w:docPartGallery w:val="Page Numbers (Bottom of Page)"/>
        <w:docPartUnique/>
      </w:docPartObj>
    </w:sdtPr>
    <w:sdtEndPr/>
    <w:sdtContent>
      <w:p w:rsidR="00122C84" w:rsidRDefault="000A4A3E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4E3" w:rsidRPr="007F74E3">
          <w:rPr>
            <w:noProof/>
            <w:lang w:val="es-ES"/>
          </w:rPr>
          <w:t>914</w:t>
        </w:r>
        <w:r>
          <w:fldChar w:fldCharType="end"/>
        </w:r>
        <w:r>
          <w:t xml:space="preserve"> ANEXO 8 DEL DECRETO 884 PRESUPUESTO DE  EGRESOS</w:t>
        </w:r>
      </w:p>
    </w:sdtContent>
  </w:sdt>
  <w:p w:rsidR="00122C84" w:rsidRDefault="00122C84">
    <w:pPr>
      <w:pStyle w:val="Textoindependiente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3E" w:rsidRDefault="000A4A3E">
      <w:pPr>
        <w:spacing w:after="0" w:line="240" w:lineRule="auto"/>
      </w:pPr>
      <w:r>
        <w:separator/>
      </w:r>
    </w:p>
  </w:footnote>
  <w:footnote w:type="continuationSeparator" w:id="0">
    <w:p w:rsidR="000A4A3E" w:rsidRDefault="000A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84" w:rsidRDefault="00122C84">
    <w:pPr>
      <w:pStyle w:val="Encabezado"/>
    </w:pPr>
  </w:p>
  <w:p w:rsidR="00122C84" w:rsidRDefault="000A4A3E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0"/>
        <w:szCs w:val="20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6C1"/>
    <w:multiLevelType w:val="multilevel"/>
    <w:tmpl w:val="5CFE1656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D09F7"/>
    <w:multiLevelType w:val="hybridMultilevel"/>
    <w:tmpl w:val="E2E04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52FC"/>
    <w:multiLevelType w:val="hybridMultilevel"/>
    <w:tmpl w:val="A8CC0BB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E3F9F"/>
    <w:multiLevelType w:val="hybridMultilevel"/>
    <w:tmpl w:val="AB5C61E2"/>
    <w:lvl w:ilvl="0" w:tplc="0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BA5662"/>
    <w:multiLevelType w:val="hybridMultilevel"/>
    <w:tmpl w:val="802EC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7224F"/>
    <w:multiLevelType w:val="hybridMultilevel"/>
    <w:tmpl w:val="920C7E5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A715A"/>
    <w:multiLevelType w:val="hybridMultilevel"/>
    <w:tmpl w:val="D0C0CC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1900"/>
    <w:multiLevelType w:val="hybridMultilevel"/>
    <w:tmpl w:val="B11AA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7CB"/>
    <w:multiLevelType w:val="hybridMultilevel"/>
    <w:tmpl w:val="FE64F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635AE"/>
    <w:multiLevelType w:val="hybridMultilevel"/>
    <w:tmpl w:val="5AAE3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3463"/>
    <w:multiLevelType w:val="hybridMultilevel"/>
    <w:tmpl w:val="3A6CD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709C4"/>
    <w:multiLevelType w:val="hybridMultilevel"/>
    <w:tmpl w:val="A650F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B7593"/>
    <w:multiLevelType w:val="multilevel"/>
    <w:tmpl w:val="8ECA6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D45"/>
    <w:multiLevelType w:val="hybridMultilevel"/>
    <w:tmpl w:val="956CF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8C0F8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D33E8"/>
    <w:multiLevelType w:val="hybridMultilevel"/>
    <w:tmpl w:val="0B4CA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81FFD"/>
    <w:multiLevelType w:val="hybridMultilevel"/>
    <w:tmpl w:val="140A3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65346"/>
    <w:multiLevelType w:val="hybridMultilevel"/>
    <w:tmpl w:val="A592596A"/>
    <w:lvl w:ilvl="0" w:tplc="72C0D02C">
      <w:start w:val="1"/>
      <w:numFmt w:val="decimal"/>
      <w:lvlText w:val="%1."/>
      <w:lvlJc w:val="left"/>
      <w:pPr>
        <w:ind w:left="720" w:hanging="360"/>
      </w:pPr>
      <w:rPr>
        <w:rFonts w:hint="default"/>
        <w:color w:val="57575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00103"/>
    <w:multiLevelType w:val="hybridMultilevel"/>
    <w:tmpl w:val="A96AF840"/>
    <w:lvl w:ilvl="0" w:tplc="E80A8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45B5D"/>
    <w:multiLevelType w:val="hybridMultilevel"/>
    <w:tmpl w:val="976A55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51669"/>
    <w:multiLevelType w:val="hybridMultilevel"/>
    <w:tmpl w:val="8E48F3C0"/>
    <w:lvl w:ilvl="0" w:tplc="8C4CC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B6678F"/>
    <w:multiLevelType w:val="hybridMultilevel"/>
    <w:tmpl w:val="180CE8EA"/>
    <w:lvl w:ilvl="0" w:tplc="01B256F2">
      <w:start w:val="1"/>
      <w:numFmt w:val="decimal"/>
      <w:lvlText w:val="%1."/>
      <w:lvlJc w:val="left"/>
      <w:pPr>
        <w:ind w:left="720" w:hanging="360"/>
      </w:pPr>
      <w:rPr>
        <w:rFonts w:hint="default"/>
        <w:color w:val="28272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D04DE"/>
    <w:multiLevelType w:val="hybridMultilevel"/>
    <w:tmpl w:val="E4148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31871"/>
    <w:multiLevelType w:val="hybridMultilevel"/>
    <w:tmpl w:val="A84E2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B2E47"/>
    <w:multiLevelType w:val="hybridMultilevel"/>
    <w:tmpl w:val="0A5A9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86EEB"/>
    <w:multiLevelType w:val="hybridMultilevel"/>
    <w:tmpl w:val="1B54A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92715"/>
    <w:multiLevelType w:val="hybridMultilevel"/>
    <w:tmpl w:val="36B88BA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280389"/>
    <w:multiLevelType w:val="hybridMultilevel"/>
    <w:tmpl w:val="8250B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41EFB"/>
    <w:multiLevelType w:val="hybridMultilevel"/>
    <w:tmpl w:val="61EE7EB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571379"/>
    <w:multiLevelType w:val="hybridMultilevel"/>
    <w:tmpl w:val="6F9AE5A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6B4814"/>
    <w:multiLevelType w:val="hybridMultilevel"/>
    <w:tmpl w:val="926237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56E78"/>
    <w:multiLevelType w:val="hybridMultilevel"/>
    <w:tmpl w:val="82DED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C19EB"/>
    <w:multiLevelType w:val="hybridMultilevel"/>
    <w:tmpl w:val="EAD0E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163F6"/>
    <w:multiLevelType w:val="hybridMultilevel"/>
    <w:tmpl w:val="51909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A034B"/>
    <w:multiLevelType w:val="hybridMultilevel"/>
    <w:tmpl w:val="2C5E9F28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7D70E57"/>
    <w:multiLevelType w:val="hybridMultilevel"/>
    <w:tmpl w:val="BFA82E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37BED"/>
    <w:multiLevelType w:val="hybridMultilevel"/>
    <w:tmpl w:val="D77064AE"/>
    <w:lvl w:ilvl="0" w:tplc="D3D8A4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5CEE6B58"/>
    <w:multiLevelType w:val="hybridMultilevel"/>
    <w:tmpl w:val="E92E2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97F2E"/>
    <w:multiLevelType w:val="hybridMultilevel"/>
    <w:tmpl w:val="AF9A5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02BC5"/>
    <w:multiLevelType w:val="hybridMultilevel"/>
    <w:tmpl w:val="4E826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D5293"/>
    <w:multiLevelType w:val="hybridMultilevel"/>
    <w:tmpl w:val="0C9AA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27ACB"/>
    <w:multiLevelType w:val="hybridMultilevel"/>
    <w:tmpl w:val="AF943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166C0"/>
    <w:multiLevelType w:val="hybridMultilevel"/>
    <w:tmpl w:val="3C8AD7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367C0"/>
    <w:multiLevelType w:val="hybridMultilevel"/>
    <w:tmpl w:val="56020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B0E35"/>
    <w:multiLevelType w:val="hybridMultilevel"/>
    <w:tmpl w:val="567411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7"/>
  </w:num>
  <w:num w:numId="4">
    <w:abstractNumId w:val="15"/>
  </w:num>
  <w:num w:numId="5">
    <w:abstractNumId w:val="10"/>
  </w:num>
  <w:num w:numId="6">
    <w:abstractNumId w:val="11"/>
  </w:num>
  <w:num w:numId="7">
    <w:abstractNumId w:val="31"/>
  </w:num>
  <w:num w:numId="8">
    <w:abstractNumId w:val="24"/>
  </w:num>
  <w:num w:numId="9">
    <w:abstractNumId w:val="7"/>
  </w:num>
  <w:num w:numId="10">
    <w:abstractNumId w:val="8"/>
  </w:num>
  <w:num w:numId="11">
    <w:abstractNumId w:val="14"/>
  </w:num>
  <w:num w:numId="12">
    <w:abstractNumId w:val="29"/>
  </w:num>
  <w:num w:numId="13">
    <w:abstractNumId w:val="19"/>
  </w:num>
  <w:num w:numId="14">
    <w:abstractNumId w:val="3"/>
  </w:num>
  <w:num w:numId="15">
    <w:abstractNumId w:val="34"/>
  </w:num>
  <w:num w:numId="16">
    <w:abstractNumId w:val="43"/>
  </w:num>
  <w:num w:numId="17">
    <w:abstractNumId w:val="17"/>
  </w:num>
  <w:num w:numId="18">
    <w:abstractNumId w:val="4"/>
  </w:num>
  <w:num w:numId="19">
    <w:abstractNumId w:val="39"/>
  </w:num>
  <w:num w:numId="20">
    <w:abstractNumId w:val="26"/>
  </w:num>
  <w:num w:numId="21">
    <w:abstractNumId w:val="28"/>
  </w:num>
  <w:num w:numId="22">
    <w:abstractNumId w:val="27"/>
  </w:num>
  <w:num w:numId="23">
    <w:abstractNumId w:val="25"/>
  </w:num>
  <w:num w:numId="24">
    <w:abstractNumId w:val="41"/>
  </w:num>
  <w:num w:numId="25">
    <w:abstractNumId w:val="9"/>
  </w:num>
  <w:num w:numId="26">
    <w:abstractNumId w:val="5"/>
  </w:num>
  <w:num w:numId="27">
    <w:abstractNumId w:val="33"/>
  </w:num>
  <w:num w:numId="28">
    <w:abstractNumId w:val="35"/>
  </w:num>
  <w:num w:numId="29">
    <w:abstractNumId w:val="30"/>
  </w:num>
  <w:num w:numId="30">
    <w:abstractNumId w:val="38"/>
  </w:num>
  <w:num w:numId="31">
    <w:abstractNumId w:val="36"/>
  </w:num>
  <w:num w:numId="32">
    <w:abstractNumId w:val="18"/>
  </w:num>
  <w:num w:numId="33">
    <w:abstractNumId w:val="6"/>
  </w:num>
  <w:num w:numId="34">
    <w:abstractNumId w:val="16"/>
  </w:num>
  <w:num w:numId="35">
    <w:abstractNumId w:val="20"/>
  </w:num>
  <w:num w:numId="36">
    <w:abstractNumId w:val="32"/>
  </w:num>
  <w:num w:numId="37">
    <w:abstractNumId w:val="42"/>
  </w:num>
  <w:num w:numId="38">
    <w:abstractNumId w:val="2"/>
  </w:num>
  <w:num w:numId="39">
    <w:abstractNumId w:val="0"/>
  </w:num>
  <w:num w:numId="40">
    <w:abstractNumId w:val="12"/>
  </w:num>
  <w:num w:numId="41">
    <w:abstractNumId w:val="13"/>
  </w:num>
  <w:num w:numId="42">
    <w:abstractNumId w:val="23"/>
  </w:num>
  <w:num w:numId="43">
    <w:abstractNumId w:val="1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84"/>
    <w:rsid w:val="000A4A3E"/>
    <w:rsid w:val="00122C84"/>
    <w:rsid w:val="007F74E3"/>
    <w:rsid w:val="00B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600" w:after="84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40" w:beforeAutospacing="1" w:after="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40" w:beforeAutospacing="1" w:after="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beforeAutospacing="1" w:after="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beforeAutospacing="1" w:after="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beforeAutospacing="1" w:after="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beforeAutospacing="1" w:after="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customStyle="1" w:styleId="Tabladecuadrcula4-nfasis61">
    <w:name w:val="Tabla de cuadrícula 4 - Énfasis 6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normal41">
    <w:name w:val="Tabla normal 41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table" w:customStyle="1" w:styleId="Tabladecuadrcula1clara1">
    <w:name w:val="Tabla de cuadrícula 1 clara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Cambria" w:eastAsia="Times New Roman" w:hAnsi="Cambria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rFonts w:ascii="Calibri" w:eastAsia="Times New Roman" w:hAnsi="Calibri" w:cs="Times New Roman"/>
      <w:lang w:val="es-ES_tradnl" w:eastAsia="es-ES_tradnl"/>
    </w:rPr>
  </w:style>
  <w:style w:type="paragraph" w:styleId="Epgrafe">
    <w:name w:val="caption"/>
    <w:basedOn w:val="Normal"/>
    <w:next w:val="Normal"/>
    <w:unhideWhenUsed/>
    <w:qFormat/>
    <w:pPr>
      <w:spacing w:before="100" w:beforeAutospacing="1" w:after="100" w:afterAutospacing="1" w:line="240" w:lineRule="auto"/>
      <w:jc w:val="both"/>
    </w:pPr>
    <w:rPr>
      <w:rFonts w:ascii="Arial" w:eastAsia="Calibri" w:hAnsi="Arial" w:cs="Times New Roman"/>
      <w:b/>
      <w:bCs/>
      <w:color w:val="4F81BD"/>
      <w:sz w:val="18"/>
      <w:szCs w:val="18"/>
      <w:lang w:val="es-ES"/>
    </w:rPr>
  </w:style>
  <w:style w:type="character" w:customStyle="1" w:styleId="apple-converted-space">
    <w:name w:val="apple-converted-space"/>
  </w:style>
  <w:style w:type="table" w:styleId="Cuadrculaclara-nfasis3">
    <w:name w:val="Light Grid Accent 3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Tabladelista1clara-nfasis31">
    <w:name w:val="Tabla de lista 1 clara - Énfasis 31"/>
    <w:basedOn w:val="Tablanormal"/>
    <w:uiPriority w:val="46"/>
    <w:pPr>
      <w:spacing w:after="0" w:line="240" w:lineRule="auto"/>
    </w:pPr>
    <w:tblPr>
      <w:tblStyleRowBandSize w:val="1"/>
      <w:tblStyleColBandSize w:val="1"/>
    </w:tblPr>
    <w:tcPr>
      <w:shd w:val="clear" w:color="auto" w:fill="A50021"/>
    </w:tc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SinespaciadoCar">
    <w:name w:val="Sin espaciado Car"/>
    <w:link w:val="Sinespaciado"/>
    <w:uiPriority w:val="1"/>
    <w:qFormat/>
    <w:rPr>
      <w:rFonts w:ascii="Calibri" w:eastAsia="Times New Roman" w:hAnsi="Calibri" w:cs="Times New Roman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lang w:val="es-ES" w:eastAsia="es-ES" w:bidi="es-ES"/>
    </w:rPr>
  </w:style>
  <w:style w:type="table" w:customStyle="1" w:styleId="Tabladecuadrcula4-nfasis51">
    <w:name w:val="Tabla de cuadrícula 4 - Énfasis 51"/>
    <w:basedOn w:val="Tablanormal"/>
    <w:uiPriority w:val="49"/>
    <w:pPr>
      <w:spacing w:after="0" w:line="240" w:lineRule="auto"/>
    </w:pPr>
    <w:rPr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600" w:after="84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40" w:beforeAutospacing="1" w:after="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40" w:beforeAutospacing="1" w:after="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beforeAutospacing="1" w:after="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beforeAutospacing="1" w:after="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beforeAutospacing="1" w:after="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beforeAutospacing="1" w:after="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customStyle="1" w:styleId="Tabladecuadrcula4-nfasis61">
    <w:name w:val="Tabla de cuadrícula 4 - Énfasis 6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normal41">
    <w:name w:val="Tabla normal 41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table" w:customStyle="1" w:styleId="Tabladecuadrcula1clara1">
    <w:name w:val="Tabla de cuadrícula 1 clara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Cambria" w:eastAsia="Times New Roman" w:hAnsi="Cambria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rFonts w:ascii="Calibri" w:eastAsia="Times New Roman" w:hAnsi="Calibri" w:cs="Times New Roman"/>
      <w:lang w:val="es-ES_tradnl" w:eastAsia="es-ES_tradnl"/>
    </w:rPr>
  </w:style>
  <w:style w:type="paragraph" w:styleId="Epgrafe">
    <w:name w:val="caption"/>
    <w:basedOn w:val="Normal"/>
    <w:next w:val="Normal"/>
    <w:unhideWhenUsed/>
    <w:qFormat/>
    <w:pPr>
      <w:spacing w:before="100" w:beforeAutospacing="1" w:after="100" w:afterAutospacing="1" w:line="240" w:lineRule="auto"/>
      <w:jc w:val="both"/>
    </w:pPr>
    <w:rPr>
      <w:rFonts w:ascii="Arial" w:eastAsia="Calibri" w:hAnsi="Arial" w:cs="Times New Roman"/>
      <w:b/>
      <w:bCs/>
      <w:color w:val="4F81BD"/>
      <w:sz w:val="18"/>
      <w:szCs w:val="18"/>
      <w:lang w:val="es-ES"/>
    </w:rPr>
  </w:style>
  <w:style w:type="character" w:customStyle="1" w:styleId="apple-converted-space">
    <w:name w:val="apple-converted-space"/>
  </w:style>
  <w:style w:type="table" w:styleId="Cuadrculaclara-nfasis3">
    <w:name w:val="Light Grid Accent 3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Tabladelista1clara-nfasis31">
    <w:name w:val="Tabla de lista 1 clara - Énfasis 31"/>
    <w:basedOn w:val="Tablanormal"/>
    <w:uiPriority w:val="46"/>
    <w:pPr>
      <w:spacing w:after="0" w:line="240" w:lineRule="auto"/>
    </w:pPr>
    <w:tblPr>
      <w:tblStyleRowBandSize w:val="1"/>
      <w:tblStyleColBandSize w:val="1"/>
    </w:tblPr>
    <w:tcPr>
      <w:shd w:val="clear" w:color="auto" w:fill="A50021"/>
    </w:tc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SinespaciadoCar">
    <w:name w:val="Sin espaciado Car"/>
    <w:link w:val="Sinespaciado"/>
    <w:uiPriority w:val="1"/>
    <w:qFormat/>
    <w:rPr>
      <w:rFonts w:ascii="Calibri" w:eastAsia="Times New Roman" w:hAnsi="Calibri" w:cs="Times New Roman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lang w:val="es-ES" w:eastAsia="es-ES" w:bidi="es-ES"/>
    </w:rPr>
  </w:style>
  <w:style w:type="table" w:customStyle="1" w:styleId="Tabladecuadrcula4-nfasis51">
    <w:name w:val="Tabla de cuadrícula 4 - Énfasis 51"/>
    <w:basedOn w:val="Tablanormal"/>
    <w:uiPriority w:val="49"/>
    <w:pPr>
      <w:spacing w:after="0" w:line="240" w:lineRule="auto"/>
    </w:pPr>
    <w:rPr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9A55-B3CD-4D4E-BA23-4D307B7C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Egresos</dc:creator>
  <cp:lastModifiedBy>Jaque</cp:lastModifiedBy>
  <cp:revision>5</cp:revision>
  <cp:lastPrinted>2020-01-16T18:20:00Z</cp:lastPrinted>
  <dcterms:created xsi:type="dcterms:W3CDTF">2020-01-15T19:48:00Z</dcterms:created>
  <dcterms:modified xsi:type="dcterms:W3CDTF">2020-01-16T18:21:00Z</dcterms:modified>
</cp:coreProperties>
</file>